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70"/>
          <w:right w:type="dxa" w:w="70"/>
        </w:tblCellMar>
      </w:tblPr>
      <w:tblGrid>
        <w:gridCol w:w="4464"/>
        <w:gridCol w:w="4819"/>
      </w:tblGrid>
      <w:tr>
        <w:trPr>
          <w:trHeight w:hRule="atLeast" w:val="3405"/>
        </w:trPr>
        <w:tc>
          <w:tcPr>
            <w:tcW w:type="dxa" w:w="4464"/>
            <w:tcMar>
              <w:left w:type="dxa" w:w="70"/>
              <w:right w:type="dxa" w:w="70"/>
            </w:tcMar>
          </w:tcPr>
          <w:p w14:paraId="05000000">
            <w:pPr>
              <w:widowControl w:val="0"/>
              <w:ind/>
              <w:jc w:val="center"/>
              <w:rPr>
                <w:color w:val="000000"/>
              </w:rPr>
            </w:pPr>
            <w:r>
              <w:drawing>
                <wp:inline>
                  <wp:extent cx="533400" cy="59055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533400" cy="5905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6000000">
            <w:pPr>
              <w:widowControl w:val="0"/>
              <w:ind/>
              <w:jc w:val="center"/>
              <w:rPr>
                <w:color w:val="000000"/>
              </w:rPr>
            </w:pPr>
          </w:p>
          <w:p w14:paraId="07000000">
            <w:pPr>
              <w:widowControl w:val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МИНИСТЕРСТВО ОБРАЗОВАНИЯ</w:t>
            </w:r>
          </w:p>
          <w:p w14:paraId="08000000">
            <w:pPr>
              <w:widowControl w:val="0"/>
              <w:spacing w:line="360" w:lineRule="auto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ОРЕНБУРГСКОЙ ОБЛАСТИ</w:t>
            </w:r>
          </w:p>
          <w:p w14:paraId="09000000">
            <w:pPr>
              <w:widowControl w:val="0"/>
              <w:ind/>
              <w:jc w:val="center"/>
              <w:rPr>
                <w:b w:val="1"/>
                <w:sz w:val="36"/>
              </w:rPr>
            </w:pPr>
            <w:r>
              <w:rPr>
                <w:b w:val="1"/>
                <w:sz w:val="36"/>
              </w:rPr>
              <w:t>П Р И К А З</w:t>
            </w:r>
          </w:p>
          <w:p w14:paraId="0A000000">
            <w:pPr>
              <w:widowControl w:val="0"/>
              <w:ind/>
              <w:rPr>
                <w:sz w:val="28"/>
              </w:rPr>
            </w:pPr>
          </w:p>
          <w:p w14:paraId="0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haracter">
                    <wp:align>left</wp:align>
                  </wp:positionH>
                  <wp:positionV relativeFrom="line">
                    <wp:posOffset>635</wp:posOffset>
                  </wp:positionV>
                  <wp:extent cx="2010410" cy="360045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4"/>
                          <a:stretch/>
                        </pic:blipFill>
                        <pic:spPr>
                          <a:xfrm flipH="false" flipV="false" rot="0">
                            <a:ext cx="2010410" cy="36004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</w:t>
            </w:r>
          </w:p>
          <w:p w14:paraId="0C000000">
            <w:pPr>
              <w:widowControl w:val="0"/>
              <w:ind/>
              <w:jc w:val="center"/>
              <w:rPr>
                <w:sz w:val="24"/>
              </w:rPr>
            </w:pPr>
          </w:p>
          <w:p w14:paraId="0D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г. Оренбург</w:t>
            </w:r>
          </w:p>
          <w:p w14:paraId="0E000000">
            <w:pPr>
              <w:widowControl w:val="0"/>
              <w:ind/>
              <w:rPr>
                <w:sz w:val="24"/>
              </w:rPr>
            </w:pPr>
          </w:p>
          <w:p w14:paraId="0F00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4819"/>
            <w:tcMar>
              <w:left w:type="dxa" w:w="70"/>
              <w:right w:type="dxa" w:w="70"/>
            </w:tcMar>
          </w:tcPr>
          <w:p w14:paraId="10000000">
            <w:pPr>
              <w:widowControl w:val="0"/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555"/>
        </w:trPr>
        <w:tc>
          <w:tcPr>
            <w:tcW w:type="dxa" w:w="4464"/>
            <w:tcMar>
              <w:left w:type="dxa" w:w="70"/>
              <w:right w:type="dxa" w:w="70"/>
            </w:tcMar>
          </w:tcPr>
          <w:p w14:paraId="11000000">
            <w:pPr>
              <w:widowControl w:val="0"/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>О проведении итогового собеседования по русскому языку в 2025 году</w:t>
            </w:r>
          </w:p>
        </w:tc>
        <w:tc>
          <w:tcPr>
            <w:tcW w:type="dxa" w:w="4819"/>
            <w:tcMar>
              <w:left w:type="dxa" w:w="70"/>
              <w:right w:type="dxa" w:w="70"/>
            </w:tcMar>
          </w:tcPr>
          <w:p w14:paraId="12000000">
            <w:pPr>
              <w:widowControl w:val="0"/>
              <w:ind/>
              <w:jc w:val="center"/>
              <w:rPr>
                <w:sz w:val="28"/>
              </w:rPr>
            </w:pPr>
          </w:p>
        </w:tc>
      </w:tr>
    </w:tbl>
    <w:p w14:paraId="13000000"/>
    <w:p w14:paraId="14000000"/>
    <w:p w14:paraId="15000000">
      <w:pPr>
        <w:pStyle w:val="Style_3"/>
        <w:widowControl w:val="1"/>
        <w:spacing w:after="255" w:before="0"/>
        <w:ind w:firstLine="709"/>
        <w:contextualSpacing w:val="1"/>
        <w:jc w:val="both"/>
        <w:rPr>
          <w:b w:val="0"/>
          <w:i w:val="0"/>
          <w:color w:val="000000"/>
        </w:rPr>
      </w:pPr>
      <w:r>
        <w:rPr>
          <w:b w:val="0"/>
          <w:i w:val="0"/>
          <w:color w:val="000000"/>
        </w:rP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232/551, Порядком проведения и проверки итогового собеседования по русскому языку на территории Оренбургской области в 2024 году, утвержденным приказом министерства образования Оренбургской области от 17 декабря 2024 года № 01-21/1985, с учетом рекомендаций по организации и проведению итогового собеседования по русскому языку в 2024 году (письмо Рособрнадзора от 29 октября 2024 года № 02-311)</w:t>
      </w:r>
    </w:p>
    <w:p w14:paraId="16000000">
      <w:pPr>
        <w:rPr>
          <w:sz w:val="28"/>
        </w:rPr>
      </w:pPr>
      <w:r>
        <w:rPr>
          <w:sz w:val="28"/>
        </w:rPr>
        <w:t xml:space="preserve"> п р и к а з ы в а ю</w:t>
      </w:r>
    </w:p>
    <w:p w14:paraId="17000000">
      <w:pPr>
        <w:widowControl w:val="1"/>
        <w:ind w:firstLine="709"/>
        <w:rPr>
          <w:sz w:val="28"/>
        </w:rPr>
      </w:pPr>
    </w:p>
    <w:p w14:paraId="18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Провести итоговое собеседование по русскому языку (далее – итоговое собеседование) как условие допуска к государственной итоговой аттестации по образовательным программам основного общего образования для выпускников 9 классов (далее – ГИА–9) на базе общеобразовательных организаций, реализующих образовательные программы основного общего образования, в которых обучающиеся осваивают образовательные программы основного общего образования.</w:t>
      </w:r>
    </w:p>
    <w:p w14:paraId="19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12 февраля 2025 года</w:t>
      </w:r>
    </w:p>
    <w:p w14:paraId="1A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 xml:space="preserve">                12 марта 2025 года</w:t>
      </w:r>
    </w:p>
    <w:p w14:paraId="1B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21 апреля 2024 года</w:t>
      </w:r>
    </w:p>
    <w:p w14:paraId="1C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Назначить ответственным за организацию проведения и проверки итогового собеседования в 2025 году государственное бюджетное учреждение «Региональный центр мониторинга системы образования Оренбургской области» (далее – ГБУ РЦМСО).</w:t>
      </w:r>
    </w:p>
    <w:p w14:paraId="1D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Определить схемы проверки и оценивания итогового собеседования:</w:t>
      </w:r>
    </w:p>
    <w:p w14:paraId="1E000000">
      <w:pPr>
        <w:pStyle w:val="Style_4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Схема 1: проверка осуществляется экспертом непосредственно в процессе ответа по специально разработанным критериям по системе «зачет» – «незачет».</w:t>
      </w:r>
    </w:p>
    <w:p w14:paraId="1F000000">
      <w:pPr>
        <w:pStyle w:val="Style_4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Схема 2: проверка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собеседования.</w:t>
      </w:r>
    </w:p>
    <w:p w14:paraId="20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ГБУ РЦМСО обеспечить:</w:t>
      </w:r>
    </w:p>
    <w:p w14:paraId="21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организационно-технологическое сопровождение проведения итогового собеседования, в том числе деятельность по эксплуатации региональной информационной системы «Цифровое образование Оренбургской области» и взаимодействие с федеральной информационной системой государственной итоговой аттестации;</w:t>
      </w:r>
    </w:p>
    <w:p w14:paraId="22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обработку результатов участников итогового собеседования и формирование протокола с результатами итогового собеседования в специализированном программном обеспечении, предоставляемом федеральным государственным бюджетным учреждением «Федеральный центр тестирования». </w:t>
      </w:r>
    </w:p>
    <w:p w14:paraId="23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Руководителям общеобразовательных организаций, подведомственных министерству образования Оренбургской области:</w:t>
      </w:r>
    </w:p>
    <w:p w14:paraId="24000000">
      <w:pPr>
        <w:pStyle w:val="Style_4"/>
        <w:widowControl w:val="1"/>
        <w:numPr>
          <w:ilvl w:val="1"/>
          <w:numId w:val="1"/>
        </w:numPr>
        <w:ind/>
        <w:jc w:val="both"/>
        <w:rPr>
          <w:sz w:val="28"/>
        </w:rPr>
      </w:pPr>
      <w:r>
        <w:rPr>
          <w:sz w:val="28"/>
        </w:rPr>
        <w:t>Обеспечить:</w:t>
      </w:r>
    </w:p>
    <w:p w14:paraId="25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сбор заявлений от участников итогового собеседования;</w:t>
      </w:r>
    </w:p>
    <w:p w14:paraId="26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</w:t>
      </w:r>
      <w:bookmarkStart w:id="1" w:name="_Hlk156384479"/>
      <w:r>
        <w:rPr>
          <w:sz w:val="28"/>
        </w:rPr>
        <w:t>: до 29 января 2025 года</w:t>
      </w:r>
    </w:p>
    <w:p w14:paraId="27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28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  <w:bookmarkEnd w:id="1"/>
    </w:p>
    <w:p w14:paraId="29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сбор и своевременную отправку сведений о количестве обучающихся с ограниченными возможностями здоровья (далее – ОВЗ), обучающихся на дому и в медицинских организациях, детей-инвалидов и инвалидов, и скан-копии подтверждающих документов по защищенной почте на электронный адрес: </w:t>
      </w:r>
      <w:r>
        <w:rPr>
          <w:sz w:val="28"/>
        </w:rPr>
        <w:t>CRO</w:t>
      </w:r>
      <w:r>
        <w:rPr>
          <w:sz w:val="28"/>
        </w:rPr>
        <w:t>-</w:t>
      </w:r>
      <w:r>
        <w:rPr>
          <w:sz w:val="28"/>
        </w:rPr>
        <w:t>SEV</w:t>
      </w:r>
      <w:r>
        <w:rPr>
          <w:sz w:val="28"/>
        </w:rPr>
        <w:t>;</w:t>
      </w:r>
    </w:p>
    <w:p w14:paraId="2A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2B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2C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2D000000">
      <w:pPr>
        <w:pStyle w:val="Style_4"/>
        <w:widowControl w:val="1"/>
        <w:ind w:left="709"/>
        <w:jc w:val="both"/>
        <w:rPr>
          <w:sz w:val="28"/>
        </w:rPr>
      </w:pPr>
      <w:r>
        <w:rPr>
          <w:sz w:val="28"/>
        </w:rPr>
        <w:t>техническую готовность мест проведения итогового собеседования;</w:t>
      </w:r>
    </w:p>
    <w:p w14:paraId="2E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до 12 февраля 2025 года</w:t>
      </w:r>
    </w:p>
    <w:p w14:paraId="2F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до 12 марта 2025 года</w:t>
      </w:r>
    </w:p>
    <w:p w14:paraId="30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до 21 апреля 2025 года</w:t>
      </w:r>
    </w:p>
    <w:p w14:paraId="31000000">
      <w:pPr>
        <w:pStyle w:val="Style_4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создание комиссий по проведению итогового собеседования и по проверке итогового собеседования;</w:t>
      </w:r>
    </w:p>
    <w:p w14:paraId="32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33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34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35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отбор и подготовку специалистов, входящих в состав комиссий по проведению и проверке итогового собеседования;</w:t>
      </w:r>
    </w:p>
    <w:p w14:paraId="36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проведение итогового собеседования на базе общеобразовательных организаций, реализующих образовательные программы основного общего образования;</w:t>
      </w:r>
    </w:p>
    <w:p w14:paraId="37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12 февраля 2025 года</w:t>
      </w:r>
    </w:p>
    <w:p w14:paraId="38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12 марта 2025 года</w:t>
      </w:r>
    </w:p>
    <w:p w14:paraId="39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21 апреля 2025 года</w:t>
      </w:r>
    </w:p>
    <w:p w14:paraId="3A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информационную безопасность при хранении, использовании и передаче контрольных измерительных материалов (далее – КИМ) итогового собеседования.</w:t>
      </w:r>
    </w:p>
    <w:p w14:paraId="3B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весь период</w:t>
      </w:r>
    </w:p>
    <w:p w14:paraId="3C000000">
      <w:pPr>
        <w:pStyle w:val="Style_4"/>
        <w:widowControl w:val="1"/>
        <w:numPr>
          <w:ilvl w:val="1"/>
          <w:numId w:val="1"/>
        </w:numPr>
        <w:ind/>
        <w:jc w:val="both"/>
        <w:rPr>
          <w:sz w:val="28"/>
        </w:rPr>
      </w:pPr>
      <w:r>
        <w:rPr>
          <w:sz w:val="28"/>
        </w:rPr>
        <w:t>Проинформировать:</w:t>
      </w:r>
    </w:p>
    <w:p w14:paraId="3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специалистов, привлекаемых к проведению и проверке итогового собеседования, о порядке проведения и проверки итогового собеседования;</w:t>
      </w:r>
    </w:p>
    <w:p w14:paraId="3E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участников итогового собеседования и их родителей (законных представителей) о месте и сроке проведения итогового собеседования, порядке проведения и проверке итогового собеседования, ведении во время проведения итогового собеседования аудиозаписи ответов участников итогового собеседования, времени и месте ознакомления с результатами итогового собеседования, в том числе через средства массовой информации, работу телефонов «горячей линии», официальные сайты в информационно-телекоммуникационной сети «Интернет».</w:t>
      </w:r>
    </w:p>
    <w:p w14:paraId="3F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Определить места, порядок и сроки хранения КИМ, аудиозаписей итогового собеседования, лиц, имеющих к ним доступ.</w:t>
      </w:r>
    </w:p>
    <w:p w14:paraId="40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Принять меры по защите КИМ итогового собеседования от разглашения содержащейся в них информации.</w:t>
      </w:r>
    </w:p>
    <w:p w14:paraId="41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Создать условия, учитывающие состояние здоровья, особенности психофизического развития участников итогового собеседования с ОВЗ, для обучающихся на дому и обучающихся в медицинских организациях, детей-инвалидов и инвалидов.</w:t>
      </w:r>
    </w:p>
    <w:p w14:paraId="42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Ознакомить участников итогового собеседования и (или) их родителей (законных представителей) с результатами итогового собеседования.</w:t>
      </w:r>
    </w:p>
    <w:p w14:paraId="43000000">
      <w:pPr>
        <w:widowControl w:val="1"/>
        <w:tabs>
          <w:tab w:leader="none" w:pos="1560" w:val="left"/>
        </w:tabs>
        <w:ind w:firstLine="993" w:right="-142"/>
        <w:jc w:val="right"/>
        <w:rPr>
          <w:sz w:val="28"/>
        </w:rPr>
      </w:pPr>
      <w:r>
        <w:rPr>
          <w:sz w:val="28"/>
        </w:rPr>
        <w:t>Срок: не позднее пяти календарных дней</w:t>
      </w:r>
    </w:p>
    <w:p w14:paraId="44000000">
      <w:pPr>
        <w:widowControl w:val="1"/>
        <w:tabs>
          <w:tab w:leader="none" w:pos="1560" w:val="left"/>
        </w:tabs>
        <w:ind w:firstLine="993" w:right="-142"/>
        <w:jc w:val="right"/>
        <w:rPr>
          <w:sz w:val="28"/>
        </w:rPr>
      </w:pPr>
      <w:r>
        <w:rPr>
          <w:sz w:val="28"/>
        </w:rPr>
        <w:t>с момента проверки и оценивания</w:t>
      </w:r>
    </w:p>
    <w:p w14:paraId="45000000">
      <w:pPr>
        <w:widowControl w:val="1"/>
        <w:tabs>
          <w:tab w:leader="none" w:pos="1560" w:val="left"/>
        </w:tabs>
        <w:ind w:firstLine="993" w:right="-142"/>
        <w:jc w:val="right"/>
        <w:rPr>
          <w:sz w:val="28"/>
        </w:rPr>
      </w:pPr>
      <w:r>
        <w:rPr>
          <w:sz w:val="28"/>
        </w:rPr>
        <w:t>ответов участников собеседования</w:t>
      </w:r>
    </w:p>
    <w:p w14:paraId="46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Рекомендовать руководителям муниципальных органов, осуществляющих управление в сфере образования (далее – МОУО):</w:t>
      </w:r>
    </w:p>
    <w:p w14:paraId="47000000">
      <w:pPr>
        <w:pStyle w:val="Style_4"/>
        <w:widowControl w:val="1"/>
        <w:numPr>
          <w:ilvl w:val="1"/>
          <w:numId w:val="1"/>
        </w:numPr>
        <w:ind/>
        <w:jc w:val="both"/>
        <w:rPr>
          <w:sz w:val="28"/>
        </w:rPr>
      </w:pPr>
      <w:r>
        <w:rPr>
          <w:sz w:val="28"/>
        </w:rPr>
        <w:t>Обеспечить:</w:t>
      </w:r>
    </w:p>
    <w:p w14:paraId="48000000">
      <w:pPr>
        <w:widowControl w:val="1"/>
        <w:ind w:firstLine="851" w:left="-142"/>
        <w:jc w:val="both"/>
        <w:rPr>
          <w:sz w:val="28"/>
        </w:rPr>
      </w:pPr>
      <w:r>
        <w:rPr>
          <w:sz w:val="28"/>
        </w:rPr>
        <w:t>сбор заявлений от участников итогового собеседования специалистами образовательных организаций;</w:t>
      </w:r>
    </w:p>
    <w:p w14:paraId="49000000">
      <w:pPr>
        <w:widowControl w:val="1"/>
        <w:ind w:left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4A000000">
      <w:pPr>
        <w:widowControl w:val="1"/>
        <w:ind w:left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4B000000">
      <w:pPr>
        <w:widowControl w:val="1"/>
        <w:ind w:left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4C000000">
      <w:pPr>
        <w:widowControl w:val="1"/>
        <w:ind/>
        <w:jc w:val="both"/>
        <w:rPr>
          <w:sz w:val="28"/>
        </w:rPr>
      </w:pPr>
    </w:p>
    <w:p w14:paraId="4D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 xml:space="preserve">сбор и своевременную отправку сведений о количестве обучающихся с ОВЗ, обучающихся на дому и в медицинских организациях, детей-инвалидов и инвалидов, и скан-копии подтверждающих документов по защищенной почте на электронный адрес </w:t>
      </w:r>
      <w:r>
        <w:rPr>
          <w:sz w:val="28"/>
        </w:rPr>
        <w:t>CRO</w:t>
      </w:r>
      <w:r>
        <w:rPr>
          <w:sz w:val="28"/>
        </w:rPr>
        <w:t>-</w:t>
      </w:r>
      <w:r>
        <w:rPr>
          <w:sz w:val="28"/>
        </w:rPr>
        <w:t>KNV</w:t>
      </w:r>
      <w:r>
        <w:rPr>
          <w:sz w:val="28"/>
        </w:rPr>
        <w:t>;</w:t>
      </w:r>
    </w:p>
    <w:p w14:paraId="4E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4F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50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51000000">
      <w:pPr>
        <w:widowControl w:val="1"/>
        <w:ind w:firstLine="709"/>
        <w:rPr>
          <w:sz w:val="28"/>
        </w:rPr>
      </w:pPr>
      <w:r>
        <w:rPr>
          <w:sz w:val="28"/>
        </w:rPr>
        <w:t>техническую готовность мест проведения итогового собеседования;</w:t>
      </w:r>
    </w:p>
    <w:p w14:paraId="52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до 12 февраля 2025 года</w:t>
      </w:r>
    </w:p>
    <w:p w14:paraId="53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до 12 марта 2025 года</w:t>
      </w:r>
    </w:p>
    <w:p w14:paraId="54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до 21 апреля 2025 года</w:t>
      </w:r>
    </w:p>
    <w:p w14:paraId="55000000">
      <w:pPr>
        <w:pStyle w:val="Style_4"/>
        <w:widowControl w:val="1"/>
        <w:ind w:firstLine="709" w:left="0"/>
        <w:jc w:val="both"/>
        <w:rPr>
          <w:sz w:val="28"/>
        </w:rPr>
      </w:pPr>
      <w:r>
        <w:rPr>
          <w:sz w:val="28"/>
        </w:rPr>
        <w:t>создание комиссий по проведению итогового собеседования и по проверке итогового собеседования;</w:t>
      </w:r>
    </w:p>
    <w:p w14:paraId="56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57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58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59000000">
      <w:pPr>
        <w:widowControl w:val="1"/>
        <w:ind w:firstLine="709"/>
        <w:rPr>
          <w:sz w:val="28"/>
        </w:rPr>
      </w:pPr>
      <w:r>
        <w:rPr>
          <w:sz w:val="28"/>
        </w:rPr>
        <w:t>отбор и подготовку специалистов, входящих в состав комиссий по проведению итогового собеседования и проверке итогового собеседования;</w:t>
      </w:r>
    </w:p>
    <w:p w14:paraId="5A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Срок: до 29 января 2025 года</w:t>
      </w:r>
    </w:p>
    <w:p w14:paraId="5B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26 февраля 2025 года</w:t>
      </w:r>
    </w:p>
    <w:p w14:paraId="5C000000">
      <w:pPr>
        <w:widowControl w:val="1"/>
        <w:ind w:firstLine="709"/>
        <w:jc w:val="right"/>
        <w:rPr>
          <w:sz w:val="28"/>
        </w:rPr>
      </w:pPr>
      <w:r>
        <w:rPr>
          <w:sz w:val="28"/>
        </w:rPr>
        <w:t>до 7 апреля 2025 года</w:t>
      </w:r>
    </w:p>
    <w:p w14:paraId="5D000000">
      <w:pPr>
        <w:widowControl w:val="1"/>
        <w:ind w:firstLine="709"/>
        <w:rPr>
          <w:sz w:val="28"/>
        </w:rPr>
      </w:pPr>
      <w:r>
        <w:rPr>
          <w:sz w:val="28"/>
        </w:rPr>
        <w:t>проведение итогового собеседования на базе общеобразовательных организаций, реализующих образовательные программы основного общего образования;</w:t>
      </w:r>
    </w:p>
    <w:p w14:paraId="5E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12 февраля 2025 года</w:t>
      </w:r>
    </w:p>
    <w:p w14:paraId="5F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12 марта 2025 года</w:t>
      </w:r>
    </w:p>
    <w:p w14:paraId="60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21 апреля 2025 года</w:t>
      </w:r>
    </w:p>
    <w:p w14:paraId="61000000">
      <w:pPr>
        <w:pStyle w:val="Style_4"/>
        <w:widowControl w:val="1"/>
        <w:ind w:firstLine="709" w:left="0"/>
        <w:rPr>
          <w:sz w:val="28"/>
        </w:rPr>
      </w:pPr>
      <w:r>
        <w:rPr>
          <w:sz w:val="28"/>
        </w:rPr>
        <w:t>информационную безопасность при хранении, использовании и передаче КИМ итогового собеседования.</w:t>
      </w:r>
    </w:p>
    <w:p w14:paraId="62000000">
      <w:pPr>
        <w:pStyle w:val="Style_4"/>
        <w:widowControl w:val="1"/>
        <w:ind w:left="709"/>
        <w:jc w:val="right"/>
        <w:rPr>
          <w:sz w:val="28"/>
        </w:rPr>
      </w:pPr>
      <w:r>
        <w:rPr>
          <w:sz w:val="28"/>
        </w:rPr>
        <w:t>Срок: весь период</w:t>
      </w:r>
    </w:p>
    <w:p w14:paraId="63000000">
      <w:pPr>
        <w:pStyle w:val="Style_4"/>
        <w:widowControl w:val="1"/>
        <w:numPr>
          <w:ilvl w:val="1"/>
          <w:numId w:val="1"/>
        </w:numPr>
        <w:ind/>
        <w:jc w:val="both"/>
        <w:rPr>
          <w:sz w:val="28"/>
        </w:rPr>
      </w:pPr>
      <w:r>
        <w:rPr>
          <w:sz w:val="28"/>
        </w:rPr>
        <w:t>Проинформировать:</w:t>
      </w:r>
    </w:p>
    <w:p w14:paraId="64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специалистов, привлекаемых к проведению и проверке итогового собеседования, о порядке проведения и проверке итогового собеседования;</w:t>
      </w:r>
    </w:p>
    <w:p w14:paraId="65000000">
      <w:pPr>
        <w:widowControl w:val="1"/>
        <w:ind w:firstLine="709"/>
        <w:jc w:val="both"/>
        <w:rPr>
          <w:sz w:val="28"/>
        </w:rPr>
      </w:pPr>
      <w:r>
        <w:rPr>
          <w:sz w:val="28"/>
        </w:rPr>
        <w:t>участников итогового собеседования и их родителей (законных представителей) о месте и сроке проведения итогового собеседования, порядке проведения и проверки итогового собеседования, ведении во время проведения итогового собеседования аудиозаписи ответов участников итогового собеседования, времени и месте ознакомления с результатами итогового собеседования, в том числе через средства массовой информации, работу телефонов «горячей линии», официальные сайты в информационно-телекоммуникационной сети «Интернет».</w:t>
      </w:r>
    </w:p>
    <w:p w14:paraId="66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Определить места, порядок и сроки хранения КИМ, аудиозаписей итогового собеседования, лиц, имеющих к ним доступ.</w:t>
      </w:r>
    </w:p>
    <w:p w14:paraId="67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Принять меры по защите КИМ итогового собеседования от разглашения содержащейся в них информации.</w:t>
      </w:r>
    </w:p>
    <w:p w14:paraId="68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Создать условия, учитывающие состояние здоровья, особенности психофизического развития участников итогового собеседования с ОВЗ, для обучающихся на дому и обучающихся в медицинских организациях, детей-инвалидов и инвалидов.</w:t>
      </w:r>
    </w:p>
    <w:p w14:paraId="69000000">
      <w:pPr>
        <w:pStyle w:val="Style_4"/>
        <w:widowControl w:val="1"/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Ознакомить участников итогового собеседования и (или) их родителей (законных представителей) с результатами итогового собеседования.</w:t>
      </w:r>
    </w:p>
    <w:p w14:paraId="6A000000">
      <w:pPr>
        <w:widowControl w:val="1"/>
        <w:tabs>
          <w:tab w:leader="none" w:pos="1560" w:val="left"/>
        </w:tabs>
        <w:ind w:left="709" w:right="-142"/>
        <w:jc w:val="right"/>
        <w:rPr>
          <w:sz w:val="28"/>
        </w:rPr>
      </w:pPr>
      <w:r>
        <w:rPr>
          <w:sz w:val="28"/>
        </w:rPr>
        <w:t>Срок: не позднее пяти календарных дней</w:t>
      </w:r>
    </w:p>
    <w:p w14:paraId="6B000000">
      <w:pPr>
        <w:widowControl w:val="1"/>
        <w:tabs>
          <w:tab w:leader="none" w:pos="1560" w:val="left"/>
        </w:tabs>
        <w:ind w:left="709" w:right="-142"/>
        <w:jc w:val="right"/>
        <w:rPr>
          <w:sz w:val="28"/>
        </w:rPr>
      </w:pPr>
      <w:r>
        <w:rPr>
          <w:sz w:val="28"/>
        </w:rPr>
        <w:t>с момента проверки и оценивания</w:t>
      </w:r>
    </w:p>
    <w:p w14:paraId="6C000000">
      <w:pPr>
        <w:widowControl w:val="1"/>
        <w:tabs>
          <w:tab w:leader="none" w:pos="1560" w:val="left"/>
        </w:tabs>
        <w:ind w:left="709" w:right="-142"/>
        <w:jc w:val="right"/>
        <w:rPr>
          <w:sz w:val="28"/>
        </w:rPr>
      </w:pPr>
      <w:r>
        <w:rPr>
          <w:sz w:val="28"/>
        </w:rPr>
        <w:t>ответов участников собеседования</w:t>
      </w:r>
    </w:p>
    <w:p w14:paraId="6D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Управлению контроля и надзора, лицензирования и аккредитации образовательных организаций осуществить контроль за проведением итогового собеседования и проверкой итогового собеседования в соответствии с требованиями законодательства.</w:t>
      </w:r>
    </w:p>
    <w:p w14:paraId="6E000000">
      <w:pPr>
        <w:pStyle w:val="Style_4"/>
        <w:widowControl w:val="1"/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Контроль за исполнением настоящего приказа возложить на первого заместителя министра образования Оренбургской области.</w:t>
      </w:r>
    </w:p>
    <w:p w14:paraId="6F000000">
      <w:pPr>
        <w:widowControl w:val="1"/>
        <w:ind/>
        <w:jc w:val="both"/>
        <w:rPr>
          <w:sz w:val="28"/>
        </w:rPr>
      </w:pPr>
    </w:p>
    <w:p w14:paraId="70000000">
      <w:pPr>
        <w:widowControl w:val="1"/>
        <w:ind/>
        <w:jc w:val="both"/>
        <w:rPr>
          <w:sz w:val="28"/>
        </w:rPr>
      </w:pPr>
    </w:p>
    <w:p w14:paraId="71000000">
      <w:pPr>
        <w:widowControl w:val="1"/>
        <w:ind/>
        <w:jc w:val="both"/>
        <w:rPr>
          <w:sz w:val="28"/>
        </w:rPr>
      </w:pPr>
    </w:p>
    <w:p w14:paraId="72000000">
      <w:pPr>
        <w:rPr>
          <w:sz w:val="28"/>
        </w:rPr>
      </w:pPr>
      <w:r>
        <w:rPr>
          <w:sz w:val="28"/>
        </w:rPr>
        <w:t>Министр                                                                                               А.А.Пахомов</w:t>
      </w:r>
    </w:p>
    <w:p w14:paraId="73000000">
      <w:pPr>
        <w:widowControl w:val="1"/>
        <w:ind/>
        <w:jc w:val="both"/>
        <w:rPr>
          <w:sz w:val="28"/>
        </w:rPr>
      </w:pPr>
    </w:p>
    <w:p w14:paraId="74000000">
      <w:pPr>
        <w:widowControl w:val="0"/>
        <w:spacing w:after="120"/>
        <w:ind/>
        <w:jc w:val="center"/>
        <w:rPr>
          <w:rFonts w:ascii="Tahoma" w:hAnsi="Tahoma"/>
          <w:sz w:val="16"/>
        </w:rPr>
      </w:pPr>
      <w:r>
        <w:rPr>
          <w:rFonts w:ascii="Tahoma" w:hAnsi="Tahoma"/>
          <w:sz w:val="16"/>
        </w:rPr>
        <w:t xml:space="preserve"> </w:t>
      </w:r>
      <w: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b="0" l="0" r="0" t="0"/>
            <wp:wrapNone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2877185" cy="108013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ahoma" w:hAnsi="Tahoma"/>
          <w:sz w:val="16"/>
        </w:rPr>
        <w:t xml:space="preserve"> </w:t>
      </w:r>
    </w:p>
    <w:p w14:paraId="75000000"/>
    <w:sectPr>
      <w:headerReference r:id="rId2" w:type="default"/>
      <w:headerReference r:id="rId1" w:type="first"/>
      <w:pgSz w:h="16838" w:orient="portrait" w:w="11906"/>
      <w:pgMar w:bottom="1134" w:footer="0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  <w:widowControl w:val="1"/>
      <w:ind/>
      <w:jc w:val="center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1069"/>
      </w:pPr>
    </w:lvl>
    <w:lvl w:ilvl="1">
      <w:start w:val="1"/>
      <w:numFmt w:val="decimal"/>
      <w:lvlText w:val="%1.%2."/>
      <w:lvlJc w:val="left"/>
      <w:pPr>
        <w:widowControl w:val="1"/>
        <w:tabs>
          <w:tab w:leader="none" w:pos="0" w:val="left"/>
        </w:tabs>
        <w:ind w:hanging="720" w:left="1429"/>
      </w:pPr>
    </w:lvl>
    <w:lvl w:ilvl="2">
      <w:start w:val="1"/>
      <w:numFmt w:val="decimal"/>
      <w:lvlText w:val="%1.%2.%3."/>
      <w:lvlJc w:val="left"/>
      <w:pPr>
        <w:widowControl w:val="1"/>
        <w:tabs>
          <w:tab w:leader="none" w:pos="0" w:val="left"/>
        </w:tabs>
        <w:ind w:hanging="720" w:left="1429"/>
      </w:pPr>
    </w:lvl>
    <w:lvl w:ilvl="3">
      <w:start w:val="1"/>
      <w:numFmt w:val="decimal"/>
      <w:lvlText w:val="%1.%2.%3.%4."/>
      <w:lvlJc w:val="left"/>
      <w:pPr>
        <w:widowControl w:val="1"/>
        <w:tabs>
          <w:tab w:leader="none" w:pos="0" w:val="left"/>
        </w:tabs>
        <w:ind w:hanging="1080" w:left="1789"/>
      </w:pPr>
    </w:lvl>
    <w:lvl w:ilvl="4">
      <w:start w:val="1"/>
      <w:numFmt w:val="decimal"/>
      <w:lvlText w:val="%1.%2.%3.%4.%5."/>
      <w:lvlJc w:val="left"/>
      <w:pPr>
        <w:widowControl w:val="1"/>
        <w:tabs>
          <w:tab w:leader="none" w:pos="0" w:val="left"/>
        </w:tabs>
        <w:ind w:hanging="1080" w:left="1789"/>
      </w:pPr>
    </w:lvl>
    <w:lvl w:ilvl="5">
      <w:start w:val="1"/>
      <w:numFmt w:val="decimal"/>
      <w:lvlText w:val="%1.%2.%3.%4.%5.%6."/>
      <w:lvlJc w:val="left"/>
      <w:pPr>
        <w:widowControl w:val="1"/>
        <w:tabs>
          <w:tab w:leader="none" w:pos="0" w:val="left"/>
        </w:tabs>
        <w:ind w:hanging="1440" w:left="2149"/>
      </w:pPr>
    </w:lvl>
    <w:lvl w:ilvl="6">
      <w:start w:val="1"/>
      <w:numFmt w:val="decimal"/>
      <w:lvlText w:val="%1.%2.%3.%4.%5.%6.%7."/>
      <w:lvlJc w:val="left"/>
      <w:pPr>
        <w:widowControl w:val="1"/>
        <w:tabs>
          <w:tab w:leader="none" w:pos="0" w:val="left"/>
        </w:tabs>
        <w:ind w:hanging="1800" w:left="2509"/>
      </w:pPr>
    </w:lvl>
    <w:lvl w:ilvl="7">
      <w:start w:val="1"/>
      <w:numFmt w:val="decimal"/>
      <w:lvlText w:val="%1.%2.%3.%4.%5.%6.%7.%8."/>
      <w:lvlJc w:val="left"/>
      <w:pPr>
        <w:widowControl w:val="1"/>
        <w:tabs>
          <w:tab w:leader="none" w:pos="0" w:val="left"/>
        </w:tabs>
        <w:ind w:hanging="1800" w:left="2509"/>
      </w:pPr>
    </w:lvl>
    <w:lvl w:ilvl="8">
      <w:start w:val="1"/>
      <w:numFmt w:val="decimal"/>
      <w:lvlText w:val="%1.%2.%3.%4.%5.%6.%7.%8.%9."/>
      <w:lvlJc w:val="left"/>
      <w:pPr>
        <w:widowControl w:val="1"/>
        <w:tabs>
          <w:tab w:leader="none" w:pos="0" w:val="left"/>
        </w:tabs>
        <w:ind w:hanging="2160" w:left="286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0"/>
    </w:rPr>
  </w:style>
  <w:style w:default="1" w:styleId="Style_5_ch" w:type="character">
    <w:name w:val="Normal"/>
    <w:link w:val="Style_5"/>
    <w:rPr>
      <w:rFonts w:ascii="Times New Roman" w:hAnsi="Times New Roma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4" w:type="paragraph">
    <w:name w:val="List Paragraph"/>
    <w:basedOn w:val="Style_5"/>
    <w:link w:val="Style_4_ch"/>
    <w:pPr>
      <w:widowControl w:val="1"/>
      <w:ind w:left="720"/>
      <w:contextualSpacing w:val="1"/>
    </w:pPr>
    <w:rPr>
      <w:sz w:val="24"/>
    </w:rPr>
  </w:style>
  <w:style w:styleId="Style_4_ch" w:type="character">
    <w:name w:val="List Paragraph"/>
    <w:basedOn w:val="Style_5_ch"/>
    <w:link w:val="Style_4"/>
    <w:rPr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Index"/>
    <w:basedOn w:val="Style_5"/>
    <w:link w:val="Style_15_ch"/>
  </w:style>
  <w:style w:styleId="Style_15_ch" w:type="character">
    <w:name w:val="Index"/>
    <w:basedOn w:val="Style_5_ch"/>
    <w:link w:val="Style_15"/>
  </w:style>
  <w:style w:styleId="Style_16" w:type="paragraph">
    <w:name w:val="footer"/>
    <w:basedOn w:val="Style_5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5_ch"/>
    <w:link w:val="Style_16"/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List"/>
    <w:basedOn w:val="Style_21"/>
    <w:link w:val="Style_20_ch"/>
  </w:style>
  <w:style w:styleId="Style_20_ch" w:type="character">
    <w:name w:val="List"/>
    <w:basedOn w:val="Style_21_ch"/>
    <w:link w:val="Style_20"/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1" w:type="paragraph">
    <w:name w:val="Body Text"/>
    <w:basedOn w:val="Style_5"/>
    <w:link w:val="Style_21_ch"/>
    <w:pPr>
      <w:widowControl w:val="1"/>
      <w:spacing w:after="140" w:line="276" w:lineRule="auto"/>
      <w:ind/>
    </w:pPr>
  </w:style>
  <w:style w:styleId="Style_21_ch" w:type="character">
    <w:name w:val="Body Text"/>
    <w:basedOn w:val="Style_5_ch"/>
    <w:link w:val="Style_21"/>
  </w:style>
  <w:style w:styleId="Style_23" w:type="paragraph">
    <w:name w:val="Header and Footer"/>
    <w:basedOn w:val="Style_5"/>
    <w:link w:val="Style_23_ch"/>
  </w:style>
  <w:style w:styleId="Style_23_ch" w:type="character">
    <w:name w:val="Header and Footer"/>
    <w:basedOn w:val="Style_5_ch"/>
    <w:link w:val="Style_23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caption"/>
    <w:basedOn w:val="Style_5"/>
    <w:link w:val="Style_26_ch"/>
    <w:pPr>
      <w:widowControl w:val="1"/>
      <w:spacing w:after="120" w:before="120"/>
      <w:ind/>
    </w:pPr>
    <w:rPr>
      <w:i w:val="1"/>
      <w:sz w:val="24"/>
    </w:rPr>
  </w:style>
  <w:style w:styleId="Style_26_ch" w:type="character">
    <w:name w:val="caption"/>
    <w:basedOn w:val="Style_5_ch"/>
    <w:link w:val="Style_26"/>
    <w:rPr>
      <w:i w:val="1"/>
      <w:sz w:val="24"/>
    </w:rPr>
  </w:style>
  <w:style w:styleId="Style_27" w:type="paragraph">
    <w:name w:val="Heading"/>
    <w:basedOn w:val="Style_5"/>
    <w:next w:val="Style_21"/>
    <w:link w:val="Style_27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Heading"/>
    <w:basedOn w:val="Style_5_ch"/>
    <w:link w:val="Style_27"/>
    <w:rPr>
      <w:rFonts w:ascii="Liberation Sans" w:hAnsi="Liberation Sans"/>
      <w:sz w:val="28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" w:type="paragraph">
    <w:name w:val="heading 2"/>
    <w:basedOn w:val="Style_5"/>
    <w:next w:val="Style_5"/>
    <w:link w:val="Style_3_ch"/>
    <w:uiPriority w:val="9"/>
    <w:qFormat/>
    <w:pPr>
      <w:keepNext w:val="1"/>
      <w:widowControl w:val="1"/>
      <w:spacing w:after="60" w:before="240"/>
      <w:ind/>
      <w:outlineLvl w:val="1"/>
    </w:pPr>
    <w:rPr>
      <w:b w:val="1"/>
      <w:i w:val="1"/>
      <w:sz w:val="28"/>
    </w:rPr>
  </w:style>
  <w:style w:styleId="Style_3_ch" w:type="character">
    <w:name w:val="heading 2"/>
    <w:basedOn w:val="Style_5_ch"/>
    <w:link w:val="Style_3"/>
    <w:rPr>
      <w:b w:val="1"/>
      <w:i w:val="1"/>
      <w:sz w:val="28"/>
    </w:rPr>
  </w:style>
  <w:style w:styleId="Style_32" w:type="paragraph">
    <w:name w:val="Balloon Text"/>
    <w:basedOn w:val="Style_5"/>
    <w:link w:val="Style_32_ch"/>
    <w:rPr>
      <w:rFonts w:ascii="Tahoma" w:hAnsi="Tahoma"/>
      <w:sz w:val="16"/>
    </w:rPr>
  </w:style>
  <w:style w:styleId="Style_32_ch" w:type="character">
    <w:name w:val="Balloon Text"/>
    <w:basedOn w:val="Style_5_ch"/>
    <w:link w:val="Style_32"/>
    <w:rPr>
      <w:rFonts w:ascii="Tahoma" w:hAnsi="Tahoma"/>
      <w:sz w:val="1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2" Target="numbering.xml" Type="http://schemas.openxmlformats.org/officeDocument/2006/relationships/numbering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styles.xml" Type="http://schemas.openxmlformats.org/officeDocument/2006/relationships/styles"/>
  <Relationship Id="rId4" Target="media/2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3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2024-12-27T07:02:00Z</dcterms:created>
  <dcterms:modified xsi:type="dcterms:W3CDTF">2024-12-27T14:19:33Z</dcterms:modified>
</cp:coreProperties>
</file>